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黑体" w:hAnsi="黑体" w:eastAsia="黑体" w:cs="黑体"/>
          <w:sz w:val="15"/>
          <w:szCs w:val="15"/>
          <w:lang w:val="en-US" w:eastAsia="zh-CN"/>
        </w:rPr>
      </w:pPr>
      <w:r>
        <w:rPr>
          <w:rFonts w:hint="eastAsia" w:ascii="黑体" w:hAnsi="黑体" w:eastAsia="黑体" w:cs="黑体"/>
          <w:sz w:val="32"/>
          <w:szCs w:val="40"/>
          <w:lang w:eastAsia="zh-CN"/>
        </w:rPr>
        <w:t>附件</w:t>
      </w:r>
      <w:r>
        <w:rPr>
          <w:rFonts w:hint="eastAsia" w:ascii="黑体" w:hAnsi="黑体" w:eastAsia="黑体" w:cs="黑体"/>
          <w:sz w:val="32"/>
          <w:szCs w:val="40"/>
          <w:lang w:val="en-US" w:eastAsia="zh-CN"/>
        </w:rPr>
        <w:t>1-1</w:t>
      </w:r>
    </w:p>
    <w:p>
      <w:pPr>
        <w:rPr>
          <w:rFonts w:hint="default" w:ascii="黑体" w:hAnsi="黑体" w:eastAsia="黑体" w:cs="黑体"/>
          <w:sz w:val="15"/>
          <w:szCs w:val="15"/>
          <w:lang w:val="en-US" w:eastAsia="zh-CN"/>
        </w:rPr>
      </w:pPr>
    </w:p>
    <w:p>
      <w:pPr>
        <w:keepNext w:val="0"/>
        <w:keepLines w:val="0"/>
        <w:widowControl/>
        <w:suppressLineNumbers w:val="0"/>
        <w:jc w:val="center"/>
        <w:textAlignment w:val="center"/>
        <w:outlineLvl w:val="0"/>
        <w:rPr>
          <w:rFonts w:hint="eastAsia" w:ascii="方正小标宋简体" w:hAnsi="方正小标宋简体" w:eastAsia="方正小标宋简体" w:cs="方正小标宋简体"/>
          <w:i w:val="0"/>
          <w:color w:val="000000"/>
          <w:kern w:val="0"/>
          <w:sz w:val="44"/>
          <w:szCs w:val="44"/>
          <w:u w:val="none"/>
          <w:lang w:val="en-US" w:eastAsia="zh-CN" w:bidi="ar"/>
        </w:rPr>
      </w:pPr>
      <w:r>
        <w:rPr>
          <w:rFonts w:hint="eastAsia" w:ascii="方正小标宋简体" w:hAnsi="方正小标宋简体" w:eastAsia="方正小标宋简体" w:cs="方正小标宋简体"/>
          <w:i w:val="0"/>
          <w:color w:val="000000"/>
          <w:kern w:val="0"/>
          <w:sz w:val="44"/>
          <w:szCs w:val="44"/>
          <w:u w:val="none"/>
          <w:lang w:val="en-US" w:eastAsia="zh-CN" w:bidi="ar"/>
        </w:rPr>
        <w:t>水利工程建设安全重点检查事项清单</w:t>
      </w:r>
    </w:p>
    <w:tbl>
      <w:tblPr>
        <w:tblStyle w:val="5"/>
        <w:tblW w:w="14007" w:type="dxa"/>
        <w:tblInd w:w="0" w:type="dxa"/>
        <w:shd w:val="clear" w:color="auto" w:fill="auto"/>
        <w:tblLayout w:type="fixed"/>
        <w:tblCellMar>
          <w:top w:w="0" w:type="dxa"/>
          <w:left w:w="0" w:type="dxa"/>
          <w:bottom w:w="0" w:type="dxa"/>
          <w:right w:w="0" w:type="dxa"/>
        </w:tblCellMar>
      </w:tblPr>
      <w:tblGrid>
        <w:gridCol w:w="957"/>
        <w:gridCol w:w="1290"/>
        <w:gridCol w:w="1305"/>
        <w:gridCol w:w="10455"/>
      </w:tblGrid>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序号</w:t>
            </w:r>
          </w:p>
        </w:tc>
        <w:tc>
          <w:tcPr>
            <w:tcW w:w="12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黑体" w:hAnsi="宋体" w:eastAsia="黑体" w:cs="黑体"/>
                <w:i w:val="0"/>
                <w:color w:val="000000"/>
                <w:sz w:val="24"/>
                <w:szCs w:val="24"/>
                <w:u w:val="none"/>
                <w:lang w:eastAsia="zh-CN"/>
              </w:rPr>
            </w:pPr>
            <w:r>
              <w:rPr>
                <w:rFonts w:hint="eastAsia" w:ascii="黑体" w:hAnsi="宋体" w:eastAsia="黑体" w:cs="黑体"/>
                <w:i w:val="0"/>
                <w:color w:val="000000"/>
                <w:sz w:val="24"/>
                <w:szCs w:val="24"/>
                <w:u w:val="none"/>
                <w:lang w:eastAsia="zh-CN"/>
              </w:rPr>
              <w:t>类别</w:t>
            </w:r>
          </w:p>
        </w:tc>
        <w:tc>
          <w:tcPr>
            <w:tcW w:w="13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黑体" w:hAnsi="宋体" w:eastAsia="黑体" w:cs="黑体"/>
                <w:i w:val="0"/>
                <w:color w:val="000000"/>
                <w:sz w:val="24"/>
                <w:szCs w:val="24"/>
                <w:u w:val="none"/>
                <w:lang w:eastAsia="zh-CN"/>
              </w:rPr>
            </w:pPr>
            <w:r>
              <w:rPr>
                <w:rFonts w:hint="eastAsia" w:ascii="黑体" w:hAnsi="宋体" w:eastAsia="黑体" w:cs="黑体"/>
                <w:i w:val="0"/>
                <w:color w:val="000000"/>
                <w:sz w:val="24"/>
                <w:szCs w:val="24"/>
                <w:u w:val="none"/>
                <w:lang w:eastAsia="zh-CN"/>
              </w:rPr>
              <w:t>管理环节</w:t>
            </w: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检查重点</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w:t>
            </w:r>
          </w:p>
        </w:tc>
        <w:tc>
          <w:tcPr>
            <w:tcW w:w="1290" w:type="dxa"/>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基础管理</w:t>
            </w:r>
          </w:p>
        </w:tc>
        <w:tc>
          <w:tcPr>
            <w:tcW w:w="13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人员管理</w:t>
            </w: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sz w:val="24"/>
                <w:szCs w:val="24"/>
                <w:u w:val="none"/>
              </w:rPr>
            </w:pPr>
            <w:r>
              <w:rPr>
                <w:rFonts w:hint="default" w:ascii="Arial" w:hAnsi="Arial" w:eastAsia="仿宋_GB2312" w:cs="Arial"/>
                <w:i w:val="0"/>
                <w:color w:val="000000"/>
                <w:kern w:val="0"/>
                <w:sz w:val="24"/>
                <w:szCs w:val="24"/>
                <w:u w:val="none"/>
                <w:lang w:val="en-US" w:eastAsia="zh-CN" w:bidi="ar"/>
              </w:rPr>
              <w:t>※</w:t>
            </w:r>
            <w:r>
              <w:rPr>
                <w:rFonts w:hint="eastAsia" w:ascii="仿宋_GB2312" w:hAnsi="仿宋_GB2312" w:eastAsia="仿宋_GB2312" w:cs="仿宋_GB2312"/>
                <w:i w:val="0"/>
                <w:color w:val="000000"/>
                <w:kern w:val="0"/>
                <w:sz w:val="24"/>
                <w:szCs w:val="24"/>
                <w:u w:val="none"/>
                <w:lang w:val="en-US" w:eastAsia="zh-CN" w:bidi="ar"/>
              </w:rPr>
              <w:t>项目法人和施工企业未按规定设置安全生产管理机构或未按规定配备专职安全生产管理人员</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2</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sz w:val="24"/>
                <w:szCs w:val="24"/>
                <w:u w:val="none"/>
              </w:rPr>
            </w:pPr>
            <w:r>
              <w:rPr>
                <w:rFonts w:hint="default" w:ascii="Arial" w:hAnsi="Arial" w:eastAsia="仿宋_GB2312" w:cs="Arial"/>
                <w:i w:val="0"/>
                <w:color w:val="000000"/>
                <w:kern w:val="0"/>
                <w:sz w:val="24"/>
                <w:szCs w:val="24"/>
                <w:u w:val="none"/>
                <w:lang w:val="en-US" w:eastAsia="zh-CN" w:bidi="ar"/>
              </w:rPr>
              <w:t>※</w:t>
            </w:r>
            <w:r>
              <w:rPr>
                <w:rFonts w:hint="eastAsia" w:ascii="仿宋_GB2312" w:hAnsi="仿宋_GB2312" w:eastAsia="仿宋_GB2312" w:cs="仿宋_GB2312"/>
                <w:i w:val="0"/>
                <w:color w:val="000000"/>
                <w:kern w:val="0"/>
                <w:sz w:val="24"/>
                <w:szCs w:val="24"/>
                <w:u w:val="none"/>
                <w:lang w:val="en-US" w:eastAsia="zh-CN" w:bidi="ar"/>
              </w:rPr>
              <w:t>施工企业主要负责人、项目负责人和专职安全生产管理人员未按规定持有效的安全生产考核合格证书</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3</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sz w:val="24"/>
                <w:szCs w:val="24"/>
                <w:u w:val="none"/>
              </w:rPr>
            </w:pPr>
            <w:r>
              <w:rPr>
                <w:rFonts w:hint="default" w:ascii="Arial" w:hAnsi="Arial" w:eastAsia="仿宋_GB2312" w:cs="Arial"/>
                <w:i w:val="0"/>
                <w:color w:val="000000"/>
                <w:kern w:val="0"/>
                <w:sz w:val="24"/>
                <w:szCs w:val="24"/>
                <w:u w:val="none"/>
                <w:lang w:val="en-US" w:eastAsia="zh-CN" w:bidi="ar"/>
              </w:rPr>
              <w:t>※</w:t>
            </w:r>
            <w:r>
              <w:rPr>
                <w:rFonts w:hint="eastAsia" w:ascii="仿宋_GB2312" w:hAnsi="仿宋_GB2312" w:eastAsia="仿宋_GB2312" w:cs="仿宋_GB2312"/>
                <w:i w:val="0"/>
                <w:color w:val="000000"/>
                <w:kern w:val="0"/>
                <w:sz w:val="24"/>
                <w:szCs w:val="24"/>
                <w:u w:val="none"/>
                <w:lang w:val="en-US" w:eastAsia="zh-CN" w:bidi="ar"/>
              </w:rPr>
              <w:t>特种（设备）作业人员未持有效证件上岗作业</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4</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lang w:eastAsia="zh-CN"/>
              </w:rPr>
            </w:pPr>
            <w:r>
              <w:rPr>
                <w:rFonts w:hint="eastAsia" w:ascii="仿宋_GB2312" w:hAnsi="仿宋_GB2312" w:eastAsia="仿宋_GB2312" w:cs="仿宋_GB2312"/>
                <w:i w:val="0"/>
                <w:color w:val="000000"/>
                <w:sz w:val="24"/>
                <w:szCs w:val="24"/>
                <w:u w:val="none"/>
                <w:lang w:eastAsia="zh-CN"/>
              </w:rPr>
              <w:t>方案管理</w:t>
            </w: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※无施工组织设计施工；危险性较大的单项工程无专项施工方案</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5</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仿宋_GB2312" w:eastAsia="仿宋_GB2312" w:cs="仿宋_GB2312"/>
                <w:i w:val="0"/>
                <w:iCs w:val="0"/>
                <w:color w:val="000000"/>
                <w:kern w:val="0"/>
                <w:sz w:val="24"/>
                <w:szCs w:val="24"/>
                <w:u w:val="none"/>
                <w:lang w:val="en-US" w:eastAsia="zh-CN" w:bidi="ar"/>
              </w:rPr>
              <w:t>超过一定规模的危险性较大单项工程的专项施工方案未按规定组织专家论证、审查擅自施工</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6</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default" w:ascii="Arial" w:hAnsi="Arial" w:eastAsia="仿宋_GB2312" w:cs="Arial"/>
                <w:i w:val="0"/>
                <w:color w:val="000000"/>
                <w:kern w:val="0"/>
                <w:sz w:val="24"/>
                <w:szCs w:val="24"/>
                <w:u w:val="none"/>
                <w:lang w:val="en-US" w:eastAsia="zh-CN" w:bidi="ar"/>
              </w:rPr>
              <w:t>※</w:t>
            </w:r>
            <w:r>
              <w:rPr>
                <w:rFonts w:hint="eastAsia" w:ascii="仿宋_GB2312" w:hAnsi="仿宋_GB2312" w:eastAsia="仿宋_GB2312" w:cs="仿宋_GB2312"/>
                <w:i w:val="0"/>
                <w:color w:val="000000"/>
                <w:kern w:val="0"/>
                <w:sz w:val="24"/>
                <w:szCs w:val="24"/>
                <w:u w:val="none"/>
                <w:lang w:val="en-US" w:eastAsia="zh-CN" w:bidi="ar"/>
              </w:rPr>
              <w:t>未按批准的专项施工方案组织实施；需要验收的危险性较大的单项工程未经验收合格转入后续工程施工</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7</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不按方案施工、盲目抢工期赶进度、恶劣天气强行组织施工</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8</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lang w:eastAsia="zh-CN"/>
              </w:rPr>
            </w:pPr>
            <w:r>
              <w:rPr>
                <w:rFonts w:hint="eastAsia" w:ascii="仿宋_GB2312" w:hAnsi="仿宋_GB2312" w:eastAsia="仿宋_GB2312" w:cs="仿宋_GB2312"/>
                <w:i w:val="0"/>
                <w:color w:val="000000"/>
                <w:sz w:val="24"/>
                <w:szCs w:val="24"/>
                <w:u w:val="none"/>
                <w:lang w:eastAsia="zh-CN"/>
              </w:rPr>
              <w:t>六项机制</w:t>
            </w: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未落实水利安全风险查找、研判、预警、防范、处置、责任“六项机制”</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9</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lang w:eastAsia="zh-CN"/>
              </w:rPr>
            </w:pPr>
            <w:r>
              <w:rPr>
                <w:rFonts w:hint="eastAsia" w:ascii="仿宋_GB2312" w:hAnsi="仿宋_GB2312" w:eastAsia="仿宋_GB2312" w:cs="仿宋_GB2312"/>
                <w:i w:val="0"/>
                <w:color w:val="000000"/>
                <w:sz w:val="24"/>
                <w:szCs w:val="24"/>
                <w:u w:val="none"/>
                <w:lang w:eastAsia="zh-CN"/>
              </w:rPr>
              <w:t>资质管理</w:t>
            </w: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存在转包和违法分包行为</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10</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倒卖、出租、出借、挂靠或者以其他形式非法转让施工资质</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11</w:t>
            </w:r>
          </w:p>
        </w:tc>
        <w:tc>
          <w:tcPr>
            <w:tcW w:w="1290" w:type="dxa"/>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lang w:eastAsia="zh-CN"/>
              </w:rPr>
              <w:t>临时工程</w:t>
            </w:r>
          </w:p>
        </w:tc>
        <w:tc>
          <w:tcPr>
            <w:tcW w:w="13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营地及施工设施建设</w:t>
            </w: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default" w:ascii="Arial" w:hAnsi="Arial" w:eastAsia="仿宋_GB2312" w:cs="Arial"/>
                <w:i w:val="0"/>
                <w:color w:val="000000"/>
                <w:kern w:val="0"/>
                <w:sz w:val="24"/>
                <w:szCs w:val="24"/>
                <w:u w:val="none"/>
                <w:lang w:val="en-US" w:eastAsia="zh-CN" w:bidi="ar"/>
              </w:rPr>
              <w:t>※</w:t>
            </w:r>
            <w:r>
              <w:rPr>
                <w:rFonts w:hint="eastAsia" w:ascii="仿宋_GB2312" w:hAnsi="仿宋_GB2312" w:eastAsia="仿宋_GB2312" w:cs="仿宋_GB2312"/>
                <w:i w:val="0"/>
                <w:color w:val="000000"/>
                <w:kern w:val="0"/>
                <w:sz w:val="24"/>
                <w:szCs w:val="24"/>
                <w:u w:val="none"/>
                <w:lang w:val="en-US" w:eastAsia="zh-CN" w:bidi="ar"/>
              </w:rPr>
              <w:t>施工工厂区、施工（建设）管理及生活区、危险化学品仓库布置在洪水、雪崩、滑坡、泥石流、塌方及危石等危险区域</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12</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lang w:eastAsia="zh-CN"/>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宿舍、办公用房、厨房操作间、易燃易爆危险品库等消防重点部位安全距离不符合要求且未采取有效防护措施</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13</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宿舍、办公用房、厨房操作间、易燃易爆危险品库等建筑构件的燃烧性能等级未达到A级</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14</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围堰工程</w:t>
            </w: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围堰不符合规范和设计要求；围堰位移及渗流量超过设计要求，且无有效管控措施</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15</w:t>
            </w:r>
          </w:p>
        </w:tc>
        <w:tc>
          <w:tcPr>
            <w:tcW w:w="1290" w:type="dxa"/>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firstLine="0" w:firstLineChars="0"/>
              <w:jc w:val="center"/>
              <w:textAlignment w:val="center"/>
              <w:rPr>
                <w:rFonts w:hint="eastAsia" w:ascii="仿宋_GB2312" w:hAnsi="仿宋_GB2312" w:eastAsia="仿宋_GB2312" w:cs="仿宋_GB2312"/>
                <w:i w:val="0"/>
                <w:color w:val="000000"/>
                <w:sz w:val="24"/>
                <w:szCs w:val="24"/>
                <w:u w:val="none"/>
                <w:lang w:eastAsia="zh-CN"/>
              </w:rPr>
            </w:pPr>
            <w:r>
              <w:rPr>
                <w:rFonts w:hint="eastAsia" w:ascii="仿宋_GB2312" w:hAnsi="宋体" w:eastAsia="仿宋_GB2312" w:cs="仿宋_GB2312"/>
                <w:i w:val="0"/>
                <w:iCs w:val="0"/>
                <w:color w:val="000000"/>
                <w:kern w:val="0"/>
                <w:sz w:val="24"/>
                <w:szCs w:val="24"/>
                <w:u w:val="none"/>
                <w:lang w:val="en-US" w:eastAsia="zh-CN" w:bidi="ar"/>
              </w:rPr>
              <w:t>专项工程</w:t>
            </w:r>
          </w:p>
        </w:tc>
        <w:tc>
          <w:tcPr>
            <w:tcW w:w="13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临时用电</w:t>
            </w: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东文宋体" w:hAnsi="东文宋体" w:eastAsia="东文宋体" w:cs="东文宋体"/>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施工现场专用的电源中性点直接接地的低压配电系统未采用TN-S接零保护系统</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16</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发电机组电源未与其他电源互相闭锁，并列运行</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17</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外电线路的安全距离不符合规范要求且未按规定采取防护措施</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18</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脚手架及</w:t>
            </w:r>
          </w:p>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模板工程</w:t>
            </w: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达到或超过一定规模的作业脚手架和支撑脚手架的立杆基础承载力不符合专项施工方案的要求，且已有明显沉降</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19</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立杆采用搭接（作业脚手架顶步距除外），未按专项施工方案设置连墙件</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20</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爬模、滑模和翻模施工脱模或混凝土承重模板拆除时，混凝土强度未达到规定值</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21</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危险物品</w:t>
            </w: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运输、使用、保管和处置雷管炸药等危险物品不符合安全要求</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22</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起重吊装 与运输</w:t>
            </w: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※起重机械未按规定经有相应资质的检验检测机构检验合格后投入使用</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23</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起重机械未配备荷载、变幅等指示装置和荷载、力矩、高度、行程等限位、限制及连锁装置</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24</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同一作业区两台及以上起重设备运行未制定防碰撞方案，且存在碰撞可能</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25</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隧洞竖（斜）井或沉井、人工挖孔桩井载人（货）提升机械未设置安全装置或安全装置不灵敏</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26</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大中型水利水电工程金属结构施工采用临时钢梁、龙门架、天锚起吊闸门、钢管前，未对其结构和吊点进行设计计算、履行审批审查验收手续，未进行相应的负荷试验</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27</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闸门、钢管上的吊耳板、焊缝未经检查检测和强度验算投入使用</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28</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高边坡</w:t>
            </w:r>
          </w:p>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深基坑</w:t>
            </w: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断层、裂隙、破碎带等不良地质构造的高边坡，未按设计要求及时采取支护措施或未经验收合格即进行下一梯段施工</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29</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lang w:eastAsia="zh-CN"/>
              </w:rPr>
            </w:pPr>
          </w:p>
        </w:tc>
        <w:tc>
          <w:tcPr>
            <w:tcW w:w="1305"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深基坑土方开挖放坡坡度不满足其稳定性要求且未采取加固措施</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30</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隧洞施工</w:t>
            </w: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未按有关规定及时进行地质预报</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31</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left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断层及破碎带、缓倾角节理密集带、岩溶发育地下水丰富及膨胀岩体地段和高地应力区等不良地质条件洞段开挖未根据地质预报针对其性质和特殊的地质问题制定专项保证安全施工的工程措施</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32</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left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隧洞Ⅳ类、Ⅴ类围岩开挖后，支护未紧跟掌子面</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33</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both"/>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Arial" w:hAnsi="Arial" w:eastAsia="仿宋_GB2312" w:cs="Arial"/>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洞室施工过程中，未对洞内有毒有害气体进行检测、监测，有毒有害气体达到或超过规定标准时未采取有效措施</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34</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设备安装</w:t>
            </w: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蜗壳、机坑里衬安装时，搭设的施工平台（组装）未经检查验收即投入使用</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35</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水上作业</w:t>
            </w: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未按规定设置必要的安全作业区或警戒区；水上作业施工船舶施工安全工作条件不符合船舶使用说明书和设备状况，未停止施工</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36</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挖泥船的实际工作条件大于《疏浚与吹填工程技术规范》（SL17</w:t>
            </w:r>
            <w:r>
              <w:rPr>
                <w:rFonts w:hint="eastAsia" w:ascii="仿宋_GB2312" w:hAnsi="宋体" w:cs="仿宋_GB2312"/>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2014）表5.7.9中所列数值，未停止施工</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37</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施工现场</w:t>
            </w:r>
          </w:p>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交通运输</w:t>
            </w: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施工现场临时便道未按照施工组织设计要求进行施工</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38</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临时便道在狭窄、陡坡、急弯、穿越电力通信地段时，未设置交通警示标志</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39</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机动车辆带故障或超载运行、超速行驶</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40</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自卸汽车、油罐车、平板拖车、汽车吊、转载机、翻斗车等特殊车辆违规载人</w:t>
            </w:r>
          </w:p>
        </w:tc>
      </w:tr>
      <w:tr>
        <w:tblPrEx>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41</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机动车驾驶无证驾驶、驾驶与准驾车型不符的机动车、酒后驾驶</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42</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动火作业</w:t>
            </w: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未按照安全操作规程开展焊接、切割等动火作业，未设置隔离防护平台或铺设防火布，现场未配备消防器材等</w:t>
            </w:r>
          </w:p>
        </w:tc>
      </w:tr>
      <w:tr>
        <w:tblPrEx>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43</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未严格履行电气焊等动火作业审批手续</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44</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lang w:eastAsia="zh-CN"/>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未对电气焊设备进行全面安全检查，使用淘汰或危及安全的电气焊设备</w:t>
            </w:r>
          </w:p>
        </w:tc>
      </w:tr>
      <w:tr>
        <w:tblPrEx>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45</w:t>
            </w:r>
          </w:p>
        </w:tc>
        <w:tc>
          <w:tcPr>
            <w:tcW w:w="1290" w:type="dxa"/>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lang w:eastAsia="zh-CN"/>
              </w:rPr>
            </w:pPr>
            <w:r>
              <w:rPr>
                <w:rFonts w:hint="eastAsia" w:ascii="仿宋_GB2312" w:hAnsi="仿宋_GB2312" w:eastAsia="仿宋_GB2312" w:cs="仿宋_GB2312"/>
                <w:i w:val="0"/>
                <w:color w:val="000000"/>
                <w:sz w:val="24"/>
                <w:szCs w:val="24"/>
                <w:u w:val="none"/>
                <w:lang w:eastAsia="zh-CN"/>
              </w:rPr>
              <w:t>其他</w:t>
            </w:r>
          </w:p>
        </w:tc>
        <w:tc>
          <w:tcPr>
            <w:tcW w:w="13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防洪度汛</w:t>
            </w: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有度汛要求的建设项目未按规定制定度汛方案和超标准洪水应急预案</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46</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lang w:eastAsia="zh-CN"/>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工程进度不满足度汛要求时未制定和采取相应措施</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47</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位于自然地面或河水位以下的隧洞进出口未按施工期防洪标准设置围堰或预留岩坎</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48</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未配备应急救援人员、应急救援器材和设备，未定期开展应急演练</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49</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液氨制冷</w:t>
            </w: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氨压机车间控制盘柜与氨压机未分开隔离布置</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50</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lang w:eastAsia="zh-CN"/>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未设置、配备固定式氨气报警仪和便携式氨气检测仪；未设置应急疏散通道并明确标识</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51</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安全防护</w:t>
            </w: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Arial" w:hAnsi="Arial" w:eastAsia="仿宋_GB2312" w:cs="Arial"/>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排架、井架、施工电梯、大坝廊道、隧洞等出入口和上部有施工作业的通道，未按规定设置防护棚</w:t>
            </w:r>
          </w:p>
        </w:tc>
      </w:tr>
      <w:tr>
        <w:tblPrEx>
          <w:shd w:val="clear" w:color="auto" w:fill="auto"/>
          <w:tblCellMar>
            <w:top w:w="0" w:type="dxa"/>
            <w:left w:w="0" w:type="dxa"/>
            <w:bottom w:w="0" w:type="dxa"/>
            <w:right w:w="0" w:type="dxa"/>
          </w:tblCellMar>
        </w:tblPrEx>
        <w:trPr>
          <w:trHeight w:val="567" w:hRule="atLeast"/>
        </w:trPr>
        <w:tc>
          <w:tcPr>
            <w:tcW w:w="9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52</w:t>
            </w: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i w:val="0"/>
                <w:color w:val="000000"/>
                <w:sz w:val="24"/>
                <w:szCs w:val="24"/>
                <w:u w:val="none"/>
              </w:rPr>
            </w:pPr>
          </w:p>
        </w:tc>
        <w:tc>
          <w:tcPr>
            <w:tcW w:w="13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设备检修</w:t>
            </w:r>
          </w:p>
        </w:tc>
        <w:tc>
          <w:tcPr>
            <w:tcW w:w="104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东文宋体" w:hAnsi="东文宋体" w:eastAsia="东文宋体" w:cs="东文宋体"/>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混凝土（水泥土、水泥稳定土）拌合机、TBM及盾构设备刀盘检维修时未切断电源或开关箱未上锁且无人监管</w:t>
            </w:r>
          </w:p>
        </w:tc>
      </w:tr>
    </w:tbl>
    <w:p>
      <w:pPr>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备注：标※号的为《水利工程建设项目生产安全重大事故隐患判定清单（指南）》所列重大事故隐患。</w:t>
      </w:r>
    </w:p>
    <w:p>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br w:type="page"/>
      </w:r>
    </w:p>
    <w:p>
      <w:pPr>
        <w:rPr>
          <w:rFonts w:hint="eastAsia" w:ascii="黑体" w:hAnsi="黑体" w:eastAsia="黑体" w:cs="黑体"/>
          <w:sz w:val="15"/>
          <w:szCs w:val="15"/>
          <w:lang w:val="en-US" w:eastAsia="zh-CN"/>
        </w:rPr>
      </w:pPr>
      <w:r>
        <w:rPr>
          <w:rFonts w:hint="eastAsia" w:ascii="黑体" w:hAnsi="黑体" w:eastAsia="黑体" w:cs="黑体"/>
          <w:sz w:val="32"/>
          <w:szCs w:val="40"/>
          <w:lang w:eastAsia="zh-CN"/>
        </w:rPr>
        <w:t>附件</w:t>
      </w:r>
      <w:r>
        <w:rPr>
          <w:rFonts w:hint="eastAsia" w:ascii="黑体" w:hAnsi="黑体" w:eastAsia="黑体" w:cs="黑体"/>
          <w:sz w:val="32"/>
          <w:szCs w:val="40"/>
          <w:lang w:val="en-US" w:eastAsia="zh-CN"/>
        </w:rPr>
        <w:t>1-2</w:t>
      </w:r>
    </w:p>
    <w:p>
      <w:pPr>
        <w:rPr>
          <w:rFonts w:hint="default" w:ascii="黑体" w:hAnsi="黑体" w:eastAsia="黑体" w:cs="黑体"/>
          <w:sz w:val="15"/>
          <w:szCs w:val="15"/>
          <w:lang w:val="en-US" w:eastAsia="zh-CN"/>
        </w:rPr>
      </w:pPr>
    </w:p>
    <w:p>
      <w:pPr>
        <w:jc w:val="center"/>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水利工程运行</w:t>
      </w:r>
      <w:r>
        <w:rPr>
          <w:rFonts w:hint="eastAsia" w:ascii="方正小标宋简体" w:hAnsi="方正小标宋简体" w:eastAsia="方正小标宋简体" w:cs="方正小标宋简体"/>
          <w:sz w:val="44"/>
          <w:szCs w:val="44"/>
          <w:lang w:eastAsia="zh-CN"/>
        </w:rPr>
        <w:t>安全重点检查事项清单</w:t>
      </w:r>
    </w:p>
    <w:tbl>
      <w:tblPr>
        <w:tblStyle w:val="5"/>
        <w:tblW w:w="13977" w:type="dxa"/>
        <w:tblInd w:w="0" w:type="dxa"/>
        <w:shd w:val="clear" w:color="auto" w:fill="auto"/>
        <w:tblLayout w:type="fixed"/>
        <w:tblCellMar>
          <w:top w:w="0" w:type="dxa"/>
          <w:left w:w="0" w:type="dxa"/>
          <w:bottom w:w="0" w:type="dxa"/>
          <w:right w:w="0" w:type="dxa"/>
        </w:tblCellMar>
      </w:tblPr>
      <w:tblGrid>
        <w:gridCol w:w="792"/>
        <w:gridCol w:w="1740"/>
        <w:gridCol w:w="11445"/>
      </w:tblGrid>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序号</w:t>
            </w: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管理对象</w:t>
            </w: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检查重点</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17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水利工程通用</w:t>
            </w: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防汛责任和管理主体责任</w:t>
            </w:r>
            <w:r>
              <w:rPr>
                <w:rFonts w:hint="eastAsia" w:ascii="仿宋_GB2312" w:hAnsi="仿宋_GB2312" w:eastAsia="仿宋_GB2312" w:cs="仿宋_GB2312"/>
                <w:i w:val="0"/>
                <w:color w:val="000000"/>
                <w:sz w:val="24"/>
                <w:szCs w:val="24"/>
                <w:u w:val="none"/>
                <w:lang w:eastAsia="zh-CN"/>
              </w:rPr>
              <w:t>未</w:t>
            </w:r>
            <w:r>
              <w:rPr>
                <w:rFonts w:hint="eastAsia" w:ascii="仿宋_GB2312" w:hAnsi="仿宋_GB2312" w:eastAsia="仿宋_GB2312" w:cs="仿宋_GB2312"/>
                <w:i w:val="0"/>
                <w:color w:val="000000"/>
                <w:sz w:val="24"/>
                <w:szCs w:val="24"/>
                <w:u w:val="none"/>
              </w:rPr>
              <w:t>落实</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水库大坝、溢洪道、放空设施以及河道堤防、险工险段、穿堤建筑物等关键部位存在度汛风险隐患</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3</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lang w:eastAsia="zh-CN"/>
              </w:rPr>
              <w:t>未</w:t>
            </w:r>
            <w:r>
              <w:rPr>
                <w:rFonts w:hint="eastAsia" w:ascii="仿宋_GB2312" w:hAnsi="仿宋_GB2312" w:eastAsia="仿宋_GB2312" w:cs="仿宋_GB2312"/>
                <w:i w:val="0"/>
                <w:color w:val="000000"/>
                <w:sz w:val="24"/>
                <w:szCs w:val="24"/>
                <w:u w:val="none"/>
              </w:rPr>
              <w:t>编制度汛方案，</w:t>
            </w:r>
            <w:r>
              <w:rPr>
                <w:rFonts w:hint="eastAsia" w:ascii="仿宋_GB2312" w:hAnsi="仿宋_GB2312" w:eastAsia="仿宋_GB2312" w:cs="仿宋_GB2312"/>
                <w:i w:val="0"/>
                <w:color w:val="000000"/>
                <w:sz w:val="24"/>
                <w:szCs w:val="24"/>
                <w:u w:val="none"/>
                <w:lang w:eastAsia="zh-CN"/>
              </w:rPr>
              <w:t>未</w:t>
            </w:r>
            <w:r>
              <w:rPr>
                <w:rFonts w:hint="eastAsia" w:ascii="仿宋_GB2312" w:hAnsi="仿宋_GB2312" w:eastAsia="仿宋_GB2312" w:cs="仿宋_GB2312"/>
                <w:i w:val="0"/>
                <w:color w:val="000000"/>
                <w:sz w:val="24"/>
                <w:szCs w:val="24"/>
                <w:u w:val="none"/>
              </w:rPr>
              <w:t>开展度汛演练，防汛物资、设备、人员等准备</w:t>
            </w:r>
            <w:r>
              <w:rPr>
                <w:rFonts w:hint="eastAsia" w:ascii="仿宋_GB2312" w:hAnsi="仿宋_GB2312" w:eastAsia="仿宋_GB2312" w:cs="仿宋_GB2312"/>
                <w:i w:val="0"/>
                <w:color w:val="000000"/>
                <w:sz w:val="24"/>
                <w:szCs w:val="24"/>
                <w:u w:val="none"/>
                <w:lang w:eastAsia="zh-CN"/>
              </w:rPr>
              <w:t>不</w:t>
            </w:r>
            <w:r>
              <w:rPr>
                <w:rFonts w:hint="eastAsia" w:ascii="仿宋_GB2312" w:hAnsi="仿宋_GB2312" w:eastAsia="仿宋_GB2312" w:cs="仿宋_GB2312"/>
                <w:i w:val="0"/>
                <w:color w:val="000000"/>
                <w:sz w:val="24"/>
                <w:szCs w:val="24"/>
                <w:u w:val="none"/>
              </w:rPr>
              <w:t>充足</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4</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※有泄洪要求的闸门不能正常启闭；启闭机自动控制系统失效</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5</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sz w:val="24"/>
                <w:szCs w:val="24"/>
                <w:u w:val="none"/>
              </w:rPr>
              <w:t>※泄水建筑物堵塞，无法正常泄洪</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6</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※有防洪要求的工程未按照设计和规范设置监测、观测设施或监测、观测设施严重缺失；未开展监测观测</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7</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工程管理与保护范围内的河道有关安全防护设施未落实</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8</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白蚁等害堤动物在堤坝筑巢、修道、繁殖，破坏堤坝内部结构</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9</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※有限空间作业未经审批或未开展有限空间气体检测</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10</w:t>
            </w:r>
          </w:p>
        </w:tc>
        <w:tc>
          <w:tcPr>
            <w:tcW w:w="17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水库大坝</w:t>
            </w: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r>
              <w:rPr>
                <w:rStyle w:val="8"/>
                <w:rFonts w:hint="eastAsia" w:ascii="仿宋_GB2312" w:hAnsi="仿宋_GB2312" w:eastAsia="仿宋_GB2312" w:cs="仿宋_GB2312"/>
                <w:lang w:val="en-US" w:eastAsia="zh-CN" w:bidi="ar"/>
              </w:rPr>
              <w:t>※小型水库防汛“三个责任人”未落实</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11</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w:t>
            </w:r>
            <w:r>
              <w:rPr>
                <w:rStyle w:val="8"/>
                <w:rFonts w:hint="eastAsia" w:ascii="仿宋_GB2312" w:hAnsi="仿宋_GB2312" w:eastAsia="仿宋_GB2312" w:cs="仿宋_GB2312"/>
                <w:lang w:val="en-US" w:eastAsia="zh-CN" w:bidi="ar"/>
              </w:rPr>
              <w:t>坝防渗和反滤排水设施存在严重缺陷</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12</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r>
              <w:rPr>
                <w:rStyle w:val="8"/>
                <w:rFonts w:hint="eastAsia" w:ascii="仿宋_GB2312" w:hAnsi="仿宋_GB2312" w:eastAsia="仿宋_GB2312" w:cs="仿宋_GB2312"/>
                <w:lang w:val="en-US" w:eastAsia="zh-CN" w:bidi="ar"/>
              </w:rPr>
              <w:t>※大坝渗流压力与渗流量变化异常；坝基扬压力明显高于设计值，复核抗滑安全系数不满足规范要求</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13</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r>
              <w:rPr>
                <w:rStyle w:val="8"/>
                <w:rFonts w:hint="eastAsia" w:ascii="仿宋_GB2312" w:hAnsi="仿宋_GB2312" w:eastAsia="仿宋_GB2312" w:cs="仿宋_GB2312"/>
                <w:lang w:val="en-US" w:eastAsia="zh-CN" w:bidi="ar"/>
              </w:rPr>
              <w:t>※运行中已出现流土、漏洞、管涌、接触渗漏等严重渗流异常现象</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14</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color w:val="000000"/>
                <w:kern w:val="0"/>
                <w:sz w:val="24"/>
                <w:szCs w:val="24"/>
                <w:u w:val="none"/>
                <w:lang w:val="en-US" w:eastAsia="zh-CN" w:bidi="ar"/>
              </w:rPr>
            </w:pPr>
            <w:r>
              <w:rPr>
                <w:rStyle w:val="8"/>
                <w:rFonts w:hint="eastAsia" w:ascii="仿宋_GB2312" w:hAnsi="仿宋_GB2312" w:eastAsia="仿宋_GB2312" w:cs="仿宋_GB2312"/>
                <w:lang w:val="en-US" w:eastAsia="zh-CN" w:bidi="ar"/>
              </w:rPr>
              <w:t>※大坝超高不满足规范要求；水库泄洪能力不满足规范要求；水库防洪能力不足</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15</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Style w:val="8"/>
                <w:rFonts w:hint="eastAsia" w:ascii="仿宋_GB2312" w:hAnsi="仿宋_GB2312" w:eastAsia="仿宋_GB2312" w:cs="仿宋_GB2312"/>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※大坝及泄水、输水等建筑物的强度、稳定、泄流安全不满足规范要求，存在危及工程安全的异常变形或近坝岸坡不稳定</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16</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Style w:val="8"/>
                <w:rFonts w:hint="eastAsia" w:ascii="仿宋_GB2312" w:hAnsi="仿宋_GB2312" w:eastAsia="仿宋_GB2312" w:cs="仿宋_GB2312"/>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※有泄洪要求的闸门、启闭机等金属结构安全检测结果为“不安全”，强度、刚度及稳定性不满足规范要求；或维护不善，变形、锈蚀、磨损严重，不能正常运行</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17</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Style w:val="8"/>
                <w:rFonts w:hint="eastAsia" w:ascii="仿宋_GB2312" w:hAnsi="仿宋_GB2312" w:eastAsia="仿宋_GB2312" w:cs="仿宋_GB2312"/>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※未经批准擅自调高水库汛限水位；水库未经蓄水验收即投入使用</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18</w:t>
            </w:r>
          </w:p>
        </w:tc>
        <w:tc>
          <w:tcPr>
            <w:tcW w:w="17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水电站</w:t>
            </w: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挡水堰坝、压力管道、压力钢管（含阀组）、调压设施、压力前池、闸门、厂房等构（建）筑物和金属结构存在明显缺陷</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19</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※主要发供电设备异常运行已达到规程标准的紧急停运条件而未停止运行</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20</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※可能出现六氟化硫泄漏、聚集的场所，未设置监测报警及通风装置</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21</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承担发电任务尤其是电力调峰等任务的水电站接到有可能引起河道水位陡涨陡落进而影响人民群众生命财产安全的调度指令后未对下游进行预警</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22</w:t>
            </w: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泵站</w:t>
            </w: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※泵站综合评定为三类、四类，未采取有效管控措施</w:t>
            </w:r>
          </w:p>
        </w:tc>
      </w:tr>
      <w:tr>
        <w:tblPrEx>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23</w:t>
            </w:r>
          </w:p>
        </w:tc>
        <w:tc>
          <w:tcPr>
            <w:tcW w:w="17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水闸</w:t>
            </w: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※水闸安全鉴定为三类、四类闸，未采取有效管控措施</w:t>
            </w:r>
          </w:p>
        </w:tc>
      </w:tr>
      <w:tr>
        <w:tblPrEx>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24</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※水闸的主体结构不均匀沉降、垂直位移、水平位移超出允许值，可能导致整体失稳；止水系统破坏</w:t>
            </w:r>
          </w:p>
        </w:tc>
      </w:tr>
      <w:tr>
        <w:tblPrEx>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25</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※水闸监测发现铺盖、底板、上下游连接段底部淘空存在失稳的可能</w:t>
            </w:r>
          </w:p>
        </w:tc>
      </w:tr>
      <w:tr>
        <w:tblPrEx>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26</w:t>
            </w:r>
          </w:p>
        </w:tc>
        <w:tc>
          <w:tcPr>
            <w:tcW w:w="17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堤防</w:t>
            </w: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※堤防安全综合评价为三类，未采取有效管控措施</w:t>
            </w:r>
          </w:p>
        </w:tc>
      </w:tr>
      <w:tr>
        <w:tblPrEx>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27</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※堤防渗流坡降和覆盖层盖重不满足标准的要求，或工程已出现严重渗流异常现象</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28</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※堤防及防护</w:t>
            </w:r>
            <w:r>
              <w:rPr>
                <w:rStyle w:val="8"/>
                <w:rFonts w:hint="eastAsia" w:ascii="仿宋_GB2312" w:hAnsi="仿宋_GB2312" w:eastAsia="仿宋_GB2312" w:cs="仿宋_GB2312"/>
                <w:lang w:val="en-US" w:eastAsia="zh-CN" w:bidi="ar"/>
              </w:rPr>
              <w:t>结构稳定性不满足规范要求，或已发现危及堤防稳定的现象</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29</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未对巡堤人员开展安全教育和应急处置培训</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30</w:t>
            </w:r>
          </w:p>
        </w:tc>
        <w:tc>
          <w:tcPr>
            <w:tcW w:w="17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i w:val="0"/>
                <w:color w:val="000000"/>
                <w:sz w:val="24"/>
                <w:szCs w:val="24"/>
                <w:u w:val="none"/>
                <w:lang w:eastAsia="zh-CN"/>
              </w:rPr>
            </w:pPr>
            <w:r>
              <w:rPr>
                <w:rFonts w:hint="eastAsia" w:ascii="仿宋_GB2312" w:hAnsi="仿宋_GB2312" w:eastAsia="仿宋_GB2312" w:cs="仿宋_GB2312"/>
                <w:i w:val="0"/>
                <w:color w:val="000000"/>
                <w:sz w:val="24"/>
                <w:szCs w:val="24"/>
                <w:u w:val="none"/>
                <w:lang w:eastAsia="zh-CN"/>
              </w:rPr>
              <w:t>河道</w:t>
            </w: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未对妨碍河道行洪突出问题排查整治，非法围垦河道、湖泊及修建阻碍行洪的建筑物构筑物</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31</w:t>
            </w: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i w:val="0"/>
                <w:color w:val="000000"/>
                <w:sz w:val="24"/>
                <w:szCs w:val="24"/>
                <w:u w:val="none"/>
                <w:lang w:eastAsia="zh-CN"/>
              </w:rPr>
            </w:pPr>
          </w:p>
        </w:tc>
        <w:tc>
          <w:tcPr>
            <w:tcW w:w="114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河道禁采期、禁采区采砂，进入禁采期之前未将河道内临时堆砂及弃渣弃料、采砂机具、采砂场等全部清理或撤离河道</w:t>
            </w:r>
          </w:p>
        </w:tc>
      </w:tr>
      <w:tr>
        <w:tblPrEx>
          <w:shd w:val="clear" w:color="auto" w:fill="auto"/>
          <w:tblCellMar>
            <w:top w:w="0" w:type="dxa"/>
            <w:left w:w="0" w:type="dxa"/>
            <w:bottom w:w="0" w:type="dxa"/>
            <w:right w:w="0" w:type="dxa"/>
          </w:tblCellMar>
        </w:tblPrEx>
        <w:trPr>
          <w:trHeight w:val="567" w:hRule="atLeast"/>
        </w:trPr>
        <w:tc>
          <w:tcPr>
            <w:tcW w:w="79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32</w:t>
            </w:r>
          </w:p>
        </w:tc>
        <w:tc>
          <w:tcPr>
            <w:tcW w:w="1740" w:type="dxa"/>
            <w:vMerge w:val="continue"/>
            <w:tcBorders>
              <w:top w:val="single" w:color="000000"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i w:val="0"/>
                <w:color w:val="000000"/>
                <w:sz w:val="24"/>
                <w:szCs w:val="24"/>
                <w:u w:val="none"/>
                <w:lang w:eastAsia="zh-CN"/>
              </w:rPr>
            </w:pPr>
          </w:p>
        </w:tc>
        <w:tc>
          <w:tcPr>
            <w:tcW w:w="11445" w:type="dxa"/>
            <w:tcBorders>
              <w:top w:val="single" w:color="000000"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未对危险河段、敏感水域加大巡河频次，河道等重点区域未开展安全防范的宣传教育</w:t>
            </w:r>
          </w:p>
        </w:tc>
      </w:tr>
    </w:tbl>
    <w:p>
      <w:pPr>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备注：标※号的为《水利工程运行管理生产安全重大事故隐患判定清单（指南）》所列重大事故隐患。</w:t>
      </w:r>
    </w:p>
    <w:p>
      <w:pPr>
        <w:jc w:val="left"/>
        <w:rPr>
          <w:rFonts w:hint="eastAsia" w:ascii="仿宋_GB2312" w:hAnsi="仿宋_GB2312" w:eastAsia="仿宋_GB2312" w:cs="仿宋_GB2312"/>
          <w:sz w:val="24"/>
          <w:szCs w:val="24"/>
          <w:lang w:eastAsia="zh-CN"/>
        </w:rPr>
      </w:pPr>
    </w:p>
    <w:p>
      <w:pPr>
        <w:jc w:val="left"/>
        <w:rPr>
          <w:rFonts w:hint="eastAsia" w:ascii="仿宋_GB2312" w:hAnsi="仿宋_GB2312" w:eastAsia="仿宋_GB2312" w:cs="仿宋_GB2312"/>
          <w:sz w:val="24"/>
          <w:szCs w:val="24"/>
          <w:lang w:eastAsia="zh-CN"/>
        </w:rPr>
      </w:pPr>
    </w:p>
    <w:p>
      <w:pPr>
        <w:rPr>
          <w:rFonts w:hint="eastAsia" w:ascii="黑体" w:hAnsi="黑体" w:eastAsia="黑体" w:cs="黑体"/>
          <w:sz w:val="32"/>
          <w:szCs w:val="40"/>
          <w:lang w:eastAsia="zh-CN"/>
        </w:rPr>
      </w:pPr>
    </w:p>
    <w:p>
      <w:pPr>
        <w:rPr>
          <w:rFonts w:hint="eastAsia" w:ascii="黑体" w:hAnsi="黑体" w:eastAsia="黑体" w:cs="黑体"/>
          <w:sz w:val="32"/>
          <w:szCs w:val="40"/>
          <w:lang w:eastAsia="zh-CN"/>
        </w:rPr>
      </w:pPr>
    </w:p>
    <w:p>
      <w:pPr>
        <w:rPr>
          <w:rFonts w:hint="eastAsia" w:ascii="黑体" w:hAnsi="黑体" w:eastAsia="黑体" w:cs="黑体"/>
          <w:sz w:val="15"/>
          <w:szCs w:val="15"/>
          <w:lang w:val="en-US" w:eastAsia="zh-CN"/>
        </w:rPr>
      </w:pPr>
      <w:r>
        <w:rPr>
          <w:rFonts w:hint="eastAsia" w:ascii="黑体" w:hAnsi="黑体" w:eastAsia="黑体" w:cs="黑体"/>
          <w:sz w:val="32"/>
          <w:szCs w:val="40"/>
          <w:lang w:eastAsia="zh-CN"/>
        </w:rPr>
        <w:t>附件</w:t>
      </w:r>
      <w:r>
        <w:rPr>
          <w:rFonts w:hint="eastAsia" w:ascii="黑体" w:hAnsi="黑体" w:eastAsia="黑体" w:cs="黑体"/>
          <w:sz w:val="32"/>
          <w:szCs w:val="40"/>
          <w:lang w:val="en-US" w:eastAsia="zh-CN"/>
        </w:rPr>
        <w:t>1-3</w:t>
      </w:r>
    </w:p>
    <w:p>
      <w:pPr>
        <w:rPr>
          <w:rFonts w:hint="default" w:ascii="黑体" w:hAnsi="黑体" w:eastAsia="黑体" w:cs="黑体"/>
          <w:sz w:val="15"/>
          <w:szCs w:val="15"/>
          <w:lang w:val="en-US" w:eastAsia="zh-CN"/>
        </w:rPr>
      </w:pPr>
    </w:p>
    <w:p>
      <w:pPr>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消防安全重点检查事项清单</w:t>
      </w:r>
    </w:p>
    <w:tbl>
      <w:tblPr>
        <w:tblStyle w:val="5"/>
        <w:tblW w:w="13912" w:type="dxa"/>
        <w:tblInd w:w="0" w:type="dxa"/>
        <w:shd w:val="clear" w:color="auto" w:fill="auto"/>
        <w:tblLayout w:type="fixed"/>
        <w:tblCellMar>
          <w:top w:w="0" w:type="dxa"/>
          <w:left w:w="0" w:type="dxa"/>
          <w:bottom w:w="0" w:type="dxa"/>
          <w:right w:w="0" w:type="dxa"/>
        </w:tblCellMar>
      </w:tblPr>
      <w:tblGrid>
        <w:gridCol w:w="1050"/>
        <w:gridCol w:w="1357"/>
        <w:gridCol w:w="11505"/>
      </w:tblGrid>
      <w:tr>
        <w:tblPrEx>
          <w:shd w:val="clear" w:color="auto" w:fill="auto"/>
          <w:tblCellMar>
            <w:top w:w="0" w:type="dxa"/>
            <w:left w:w="0" w:type="dxa"/>
            <w:bottom w:w="0" w:type="dxa"/>
            <w:right w:w="0" w:type="dxa"/>
          </w:tblCellMar>
        </w:tblPrEx>
        <w:trPr>
          <w:trHeight w:val="539" w:hRule="atLeast"/>
        </w:trPr>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序号</w:t>
            </w:r>
          </w:p>
        </w:tc>
        <w:tc>
          <w:tcPr>
            <w:tcW w:w="135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lang w:eastAsia="zh-CN"/>
              </w:rPr>
            </w:pPr>
            <w:r>
              <w:rPr>
                <w:rFonts w:hint="eastAsia" w:ascii="黑体" w:hAnsi="宋体" w:eastAsia="黑体" w:cs="黑体"/>
                <w:i w:val="0"/>
                <w:color w:val="000000"/>
                <w:sz w:val="24"/>
                <w:szCs w:val="24"/>
                <w:u w:val="none"/>
                <w:lang w:eastAsia="zh-CN"/>
              </w:rPr>
              <w:t>重点区域</w:t>
            </w:r>
          </w:p>
        </w:tc>
        <w:tc>
          <w:tcPr>
            <w:tcW w:w="115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检查重点</w:t>
            </w:r>
          </w:p>
        </w:tc>
      </w:tr>
      <w:tr>
        <w:tblPrEx>
          <w:shd w:val="clear" w:color="auto" w:fill="auto"/>
          <w:tblCellMar>
            <w:top w:w="0" w:type="dxa"/>
            <w:left w:w="0" w:type="dxa"/>
            <w:bottom w:w="0" w:type="dxa"/>
            <w:right w:w="0" w:type="dxa"/>
          </w:tblCellMar>
        </w:tblPrEx>
        <w:trPr>
          <w:trHeight w:val="539" w:hRule="atLeast"/>
        </w:trPr>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w:t>
            </w:r>
          </w:p>
        </w:tc>
        <w:tc>
          <w:tcPr>
            <w:tcW w:w="135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办公及文体活动场所、集体宿舍、职工食堂等人员密集场所和活动板房、彩钢房等临时性建筑</w:t>
            </w:r>
          </w:p>
        </w:tc>
        <w:tc>
          <w:tcPr>
            <w:tcW w:w="115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lang w:eastAsia="zh-CN"/>
              </w:rPr>
            </w:pPr>
            <w:r>
              <w:rPr>
                <w:rFonts w:hint="eastAsia" w:ascii="仿宋_GB2312" w:hAnsi="仿宋_GB2312" w:eastAsia="仿宋_GB2312" w:cs="仿宋_GB2312"/>
                <w:i w:val="0"/>
                <w:color w:val="000000"/>
                <w:sz w:val="24"/>
                <w:szCs w:val="24"/>
                <w:u w:val="none"/>
                <w:lang w:eastAsia="zh-CN"/>
              </w:rPr>
              <w:t>未明确消防责任人，未建立消防安全责任制</w:t>
            </w:r>
          </w:p>
        </w:tc>
      </w:tr>
      <w:tr>
        <w:tblPrEx>
          <w:shd w:val="clear" w:color="auto" w:fill="auto"/>
          <w:tblCellMar>
            <w:top w:w="0" w:type="dxa"/>
            <w:left w:w="0" w:type="dxa"/>
            <w:bottom w:w="0" w:type="dxa"/>
            <w:right w:w="0" w:type="dxa"/>
          </w:tblCellMar>
        </w:tblPrEx>
        <w:trPr>
          <w:trHeight w:val="539" w:hRule="atLeast"/>
        </w:trPr>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w:t>
            </w:r>
          </w:p>
        </w:tc>
        <w:tc>
          <w:tcPr>
            <w:tcW w:w="135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5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lang w:eastAsia="zh-CN"/>
              </w:rPr>
            </w:pPr>
            <w:r>
              <w:rPr>
                <w:rFonts w:hint="eastAsia" w:ascii="仿宋_GB2312" w:hAnsi="仿宋_GB2312" w:eastAsia="仿宋_GB2312" w:cs="仿宋_GB2312"/>
                <w:i w:val="0"/>
                <w:color w:val="000000"/>
                <w:kern w:val="0"/>
                <w:sz w:val="24"/>
                <w:szCs w:val="24"/>
                <w:u w:val="none"/>
                <w:lang w:val="en-US" w:eastAsia="zh-CN" w:bidi="ar"/>
              </w:rPr>
              <w:t>消防控制室值班、操作人员未按相关规定持证上岗，特种作业人员未持证上岗</w:t>
            </w:r>
          </w:p>
        </w:tc>
      </w:tr>
      <w:tr>
        <w:tblPrEx>
          <w:tblCellMar>
            <w:top w:w="0" w:type="dxa"/>
            <w:left w:w="0" w:type="dxa"/>
            <w:bottom w:w="0" w:type="dxa"/>
            <w:right w:w="0" w:type="dxa"/>
          </w:tblCellMar>
        </w:tblPrEx>
        <w:trPr>
          <w:trHeight w:val="539" w:hRule="atLeast"/>
        </w:trPr>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3</w:t>
            </w:r>
          </w:p>
        </w:tc>
        <w:tc>
          <w:tcPr>
            <w:tcW w:w="135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5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违规使用易燃可燃夹心板材</w:t>
            </w:r>
          </w:p>
        </w:tc>
      </w:tr>
      <w:tr>
        <w:tblPrEx>
          <w:shd w:val="clear" w:color="auto" w:fill="auto"/>
          <w:tblCellMar>
            <w:top w:w="0" w:type="dxa"/>
            <w:left w:w="0" w:type="dxa"/>
            <w:bottom w:w="0" w:type="dxa"/>
            <w:right w:w="0" w:type="dxa"/>
          </w:tblCellMar>
        </w:tblPrEx>
        <w:trPr>
          <w:trHeight w:val="539" w:hRule="atLeast"/>
        </w:trPr>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4</w:t>
            </w:r>
          </w:p>
        </w:tc>
        <w:tc>
          <w:tcPr>
            <w:tcW w:w="135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5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电器线路老化、私拉乱接电线，违规使用大功率用电器，违规动火作业</w:t>
            </w:r>
          </w:p>
        </w:tc>
      </w:tr>
      <w:tr>
        <w:tblPrEx>
          <w:tblCellMar>
            <w:top w:w="0" w:type="dxa"/>
            <w:left w:w="0" w:type="dxa"/>
            <w:bottom w:w="0" w:type="dxa"/>
            <w:right w:w="0" w:type="dxa"/>
          </w:tblCellMar>
        </w:tblPrEx>
        <w:trPr>
          <w:trHeight w:val="539" w:hRule="atLeast"/>
        </w:trPr>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5</w:t>
            </w:r>
          </w:p>
        </w:tc>
        <w:tc>
          <w:tcPr>
            <w:tcW w:w="135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5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 xml:space="preserve">消防通道、疏散通道不畅 </w:t>
            </w:r>
          </w:p>
        </w:tc>
      </w:tr>
      <w:tr>
        <w:tblPrEx>
          <w:shd w:val="clear" w:color="auto" w:fill="auto"/>
          <w:tblCellMar>
            <w:top w:w="0" w:type="dxa"/>
            <w:left w:w="0" w:type="dxa"/>
            <w:bottom w:w="0" w:type="dxa"/>
            <w:right w:w="0" w:type="dxa"/>
          </w:tblCellMar>
        </w:tblPrEx>
        <w:trPr>
          <w:trHeight w:val="539" w:hRule="atLeast"/>
        </w:trPr>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6</w:t>
            </w:r>
          </w:p>
        </w:tc>
        <w:tc>
          <w:tcPr>
            <w:tcW w:w="135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5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未按相关规定配备消防设施设备</w:t>
            </w:r>
          </w:p>
        </w:tc>
      </w:tr>
      <w:tr>
        <w:tblPrEx>
          <w:shd w:val="clear" w:color="auto" w:fill="auto"/>
          <w:tblCellMar>
            <w:top w:w="0" w:type="dxa"/>
            <w:left w:w="0" w:type="dxa"/>
            <w:bottom w:w="0" w:type="dxa"/>
            <w:right w:w="0" w:type="dxa"/>
          </w:tblCellMar>
        </w:tblPrEx>
        <w:trPr>
          <w:trHeight w:val="539" w:hRule="atLeast"/>
        </w:trPr>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7</w:t>
            </w:r>
          </w:p>
        </w:tc>
        <w:tc>
          <w:tcPr>
            <w:tcW w:w="135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5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sz w:val="24"/>
                <w:szCs w:val="24"/>
                <w:u w:val="none"/>
                <w:lang w:eastAsia="zh-CN"/>
              </w:rPr>
              <w:t>消防设施、设备未定期检查、检验、维修和养护</w:t>
            </w:r>
          </w:p>
        </w:tc>
      </w:tr>
      <w:tr>
        <w:tblPrEx>
          <w:tblCellMar>
            <w:top w:w="0" w:type="dxa"/>
            <w:left w:w="0" w:type="dxa"/>
            <w:bottom w:w="0" w:type="dxa"/>
            <w:right w:w="0" w:type="dxa"/>
          </w:tblCellMar>
        </w:tblPrEx>
        <w:trPr>
          <w:trHeight w:val="539" w:hRule="atLeast"/>
        </w:trPr>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8</w:t>
            </w:r>
          </w:p>
        </w:tc>
        <w:tc>
          <w:tcPr>
            <w:tcW w:w="135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5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未定期开展火灾隐患排查整治</w:t>
            </w:r>
          </w:p>
        </w:tc>
      </w:tr>
      <w:tr>
        <w:tblPrEx>
          <w:tblCellMar>
            <w:top w:w="0" w:type="dxa"/>
            <w:left w:w="0" w:type="dxa"/>
            <w:bottom w:w="0" w:type="dxa"/>
            <w:right w:w="0" w:type="dxa"/>
          </w:tblCellMar>
        </w:tblPrEx>
        <w:trPr>
          <w:trHeight w:val="539" w:hRule="atLeast"/>
        </w:trPr>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9</w:t>
            </w:r>
          </w:p>
        </w:tc>
        <w:tc>
          <w:tcPr>
            <w:tcW w:w="135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5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未制定应急预案，未定期开展消防安全培训及应急预案演练</w:t>
            </w:r>
          </w:p>
        </w:tc>
      </w:tr>
      <w:tr>
        <w:tblPrEx>
          <w:tblCellMar>
            <w:top w:w="0" w:type="dxa"/>
            <w:left w:w="0" w:type="dxa"/>
            <w:bottom w:w="0" w:type="dxa"/>
            <w:right w:w="0" w:type="dxa"/>
          </w:tblCellMar>
        </w:tblPrEx>
        <w:trPr>
          <w:trHeight w:val="539" w:hRule="atLeast"/>
        </w:trPr>
        <w:tc>
          <w:tcPr>
            <w:tcW w:w="10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10</w:t>
            </w:r>
          </w:p>
        </w:tc>
        <w:tc>
          <w:tcPr>
            <w:tcW w:w="135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115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未与承租单位签订专门的安全生产管理协议，或者租赁合同中未约定各自的安全生产管理职责</w:t>
            </w:r>
          </w:p>
        </w:tc>
      </w:tr>
    </w:tbl>
    <w:p>
      <w:pPr>
        <w:rPr>
          <w:rFonts w:hint="eastAsia" w:ascii="黑体" w:hAnsi="黑体" w:eastAsia="黑体" w:cs="黑体"/>
          <w:sz w:val="32"/>
          <w:szCs w:val="40"/>
          <w:lang w:eastAsia="zh-CN"/>
        </w:rPr>
      </w:pPr>
    </w:p>
    <w:p>
      <w:pPr>
        <w:rPr>
          <w:rFonts w:hint="eastAsia" w:ascii="黑体" w:hAnsi="黑体" w:eastAsia="黑体" w:cs="黑体"/>
          <w:sz w:val="15"/>
          <w:szCs w:val="15"/>
          <w:lang w:val="en-US" w:eastAsia="zh-CN"/>
        </w:rPr>
      </w:pPr>
      <w:r>
        <w:rPr>
          <w:rFonts w:hint="eastAsia" w:ascii="黑体" w:hAnsi="黑体" w:eastAsia="黑体" w:cs="黑体"/>
          <w:sz w:val="32"/>
          <w:szCs w:val="40"/>
          <w:lang w:eastAsia="zh-CN"/>
        </w:rPr>
        <w:t>附件</w:t>
      </w:r>
      <w:r>
        <w:rPr>
          <w:rFonts w:hint="eastAsia" w:ascii="黑体" w:hAnsi="黑体" w:eastAsia="黑体" w:cs="黑体"/>
          <w:sz w:val="32"/>
          <w:szCs w:val="40"/>
          <w:lang w:val="en-US" w:eastAsia="zh-CN"/>
        </w:rPr>
        <w:t>1-4</w:t>
      </w:r>
      <w:bookmarkStart w:id="0" w:name="_GoBack"/>
      <w:bookmarkEnd w:id="0"/>
    </w:p>
    <w:p>
      <w:pPr>
        <w:rPr>
          <w:rFonts w:hint="default" w:ascii="黑体" w:hAnsi="黑体" w:eastAsia="黑体" w:cs="黑体"/>
          <w:sz w:val="15"/>
          <w:szCs w:val="15"/>
          <w:lang w:val="en-US" w:eastAsia="zh-CN"/>
        </w:rPr>
      </w:pPr>
    </w:p>
    <w:p>
      <w:pPr>
        <w:keepNext w:val="0"/>
        <w:keepLines w:val="0"/>
        <w:pageBreakBefore w:val="0"/>
        <w:widowControl w:val="0"/>
        <w:kinsoku/>
        <w:wordWrap/>
        <w:overflowPunct/>
        <w:topLinePunct w:val="0"/>
        <w:autoSpaceDE/>
        <w:autoSpaceDN/>
        <w:bidi w:val="0"/>
        <w:adjustRightInd/>
        <w:snapToGrid w:val="0"/>
        <w:jc w:val="center"/>
        <w:textAlignment w:val="auto"/>
        <w:outlineLvl w:val="0"/>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水利工程勘测设计安全</w:t>
      </w:r>
      <w:r>
        <w:rPr>
          <w:rFonts w:hint="eastAsia" w:ascii="方正小标宋简体" w:hAnsi="方正小标宋简体" w:eastAsia="方正小标宋简体" w:cs="方正小标宋简体"/>
          <w:sz w:val="44"/>
          <w:szCs w:val="44"/>
          <w:lang w:eastAsia="zh-CN"/>
        </w:rPr>
        <w:t>重点检查</w:t>
      </w:r>
      <w:r>
        <w:rPr>
          <w:rFonts w:hint="eastAsia" w:ascii="方正小标宋简体" w:hAnsi="方正小标宋简体" w:eastAsia="方正小标宋简体" w:cs="方正小标宋简体"/>
          <w:sz w:val="44"/>
          <w:szCs w:val="44"/>
          <w:lang w:val="en-US" w:eastAsia="zh-CN"/>
        </w:rPr>
        <w:t>事项</w:t>
      </w:r>
      <w:r>
        <w:rPr>
          <w:rFonts w:hint="eastAsia" w:ascii="方正小标宋简体" w:hAnsi="方正小标宋简体" w:eastAsia="方正小标宋简体" w:cs="方正小标宋简体"/>
          <w:sz w:val="44"/>
          <w:szCs w:val="44"/>
          <w:lang w:eastAsia="zh-CN"/>
        </w:rPr>
        <w:t>清单</w:t>
      </w:r>
    </w:p>
    <w:tbl>
      <w:tblPr>
        <w:tblStyle w:val="6"/>
        <w:tblW w:w="140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4349"/>
        <w:gridCol w:w="8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序号</w:t>
            </w:r>
          </w:p>
        </w:tc>
        <w:tc>
          <w:tcPr>
            <w:tcW w:w="434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管理环节</w:t>
            </w:r>
          </w:p>
        </w:tc>
        <w:tc>
          <w:tcPr>
            <w:tcW w:w="857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检查重点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434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初步设计阶段工程勘测设计</w:t>
            </w:r>
          </w:p>
        </w:tc>
        <w:tc>
          <w:tcPr>
            <w:tcW w:w="857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是否执行了水利工程建设标准强制性条文和安全生产规程规范，是否足额计列安全生产措施费用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434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rPr>
              <w:t>野外勘察、测量、设计查勘</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现场设代</w:t>
            </w:r>
          </w:p>
        </w:tc>
        <w:tc>
          <w:tcPr>
            <w:tcW w:w="857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rPr>
              <w:t>安全防护措施是否到位，应急避险预案是否制订、合理可行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434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rPr>
              <w:t>施工期防洪度汛、截流、下闸蓄水、施工组织设计方案编制</w:t>
            </w:r>
          </w:p>
        </w:tc>
        <w:tc>
          <w:tcPr>
            <w:tcW w:w="857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rPr>
              <w:t>是否执行了相应的技术标准、水利工程建设标准强制性条文和安全生产规程规范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4</w:t>
            </w:r>
          </w:p>
        </w:tc>
        <w:tc>
          <w:tcPr>
            <w:tcW w:w="434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rPr>
              <w:t>施工期高边坡、深基坑、地下工程等重大专项工程设计</w:t>
            </w:r>
          </w:p>
        </w:tc>
        <w:tc>
          <w:tcPr>
            <w:tcW w:w="857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rPr>
              <w:t>是否执行了相应的技术标准、水利工程建设标准强制性条文和安全生产规程规范</w:t>
            </w:r>
          </w:p>
        </w:tc>
      </w:tr>
    </w:tbl>
    <w:p>
      <w:pPr>
        <w:rPr>
          <w:rFonts w:hint="eastAsia" w:ascii="仿宋_GB2312" w:hAnsi="仿宋_GB2312" w:eastAsia="仿宋_GB2312" w:cs="仿宋_GB2312"/>
          <w:sz w:val="24"/>
          <w:szCs w:val="24"/>
          <w:lang w:eastAsia="zh-CN"/>
        </w:rPr>
      </w:pPr>
    </w:p>
    <w:sectPr>
      <w:footerReference r:id="rId3" w:type="default"/>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东文宋体">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lNDE1NWYzMjRmMjAxZDczOWNlOTczMjc4OWI0NjAifQ=="/>
  </w:docVars>
  <w:rsids>
    <w:rsidRoot w:val="00000000"/>
    <w:rsid w:val="01B05098"/>
    <w:rsid w:val="08C92EC5"/>
    <w:rsid w:val="16467D65"/>
    <w:rsid w:val="198358CB"/>
    <w:rsid w:val="1FC7512D"/>
    <w:rsid w:val="2CA20B54"/>
    <w:rsid w:val="33FDF8F2"/>
    <w:rsid w:val="37EE53FD"/>
    <w:rsid w:val="37FF59D8"/>
    <w:rsid w:val="3FCFA3A8"/>
    <w:rsid w:val="3FD3CF26"/>
    <w:rsid w:val="47677226"/>
    <w:rsid w:val="492D46FF"/>
    <w:rsid w:val="4BC6D309"/>
    <w:rsid w:val="5AE39041"/>
    <w:rsid w:val="5FE627F7"/>
    <w:rsid w:val="67BBD6E0"/>
    <w:rsid w:val="6BAD106D"/>
    <w:rsid w:val="6BF1BDF6"/>
    <w:rsid w:val="73F57BDC"/>
    <w:rsid w:val="763B44D3"/>
    <w:rsid w:val="7969F796"/>
    <w:rsid w:val="7C0C1A51"/>
    <w:rsid w:val="7FF6AD09"/>
    <w:rsid w:val="A5FF5B44"/>
    <w:rsid w:val="B9EACCD9"/>
    <w:rsid w:val="BBBE0286"/>
    <w:rsid w:val="D7BF7137"/>
    <w:rsid w:val="DD977EB8"/>
    <w:rsid w:val="DF9B4BEE"/>
    <w:rsid w:val="E7688BD3"/>
    <w:rsid w:val="EFEEA2FA"/>
    <w:rsid w:val="F6BFFE8D"/>
    <w:rsid w:val="F6DFABEB"/>
    <w:rsid w:val="FF6FDA5F"/>
    <w:rsid w:val="FF7F9F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alloon Text"/>
    <w:basedOn w:val="1"/>
    <w:qFormat/>
    <w:uiPriority w:val="0"/>
    <w:rPr>
      <w:sz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31"/>
    <w:basedOn w:val="7"/>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5472</Words>
  <Characters>5597</Characters>
  <Lines>0</Lines>
  <Paragraphs>0</Paragraphs>
  <TotalTime>1</TotalTime>
  <ScaleCrop>false</ScaleCrop>
  <LinksUpToDate>false</LinksUpToDate>
  <CharactersWithSpaces>5599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2014-11-03T12:08:00Z</dcterms:created>
  <dc:creator>user</dc:creator>
  <cp:lastModifiedBy>Wy</cp:lastModifiedBy>
  <cp:lastPrinted>2023-05-07T04:00:00Z</cp:lastPrinted>
  <dcterms:modified xsi:type="dcterms:W3CDTF">2023-05-28T14:39:36Z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8E74C38E8407483E96277A0F3DA9A3C3_12</vt:lpwstr>
  </property>
</Properties>
</file>